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276" w:lineRule="auto"/>
        <w:rPr>
          <w:rFonts w:ascii="Commissioner Light" w:cs="Commissioner Light" w:eastAsia="Commissioner Light" w:hAnsi="Commissioner Light"/>
          <w:sz w:val="46"/>
          <w:szCs w:val="46"/>
        </w:rPr>
      </w:pPr>
      <w:bookmarkStart w:colFirst="0" w:colLast="0" w:name="_heading=h.rhkqdeg2fgss" w:id="0"/>
      <w:bookmarkEnd w:id="0"/>
      <w:r w:rsidDel="00000000" w:rsidR="00000000" w:rsidRPr="00000000">
        <w:rPr>
          <w:rFonts w:ascii="Commissioner Light" w:cs="Commissioner Light" w:eastAsia="Commissioner Light" w:hAnsi="Commissioner Light"/>
          <w:sz w:val="46"/>
          <w:szCs w:val="46"/>
          <w:rtl w:val="0"/>
        </w:rPr>
        <w:t xml:space="preserve">Partner Value Contribution Assessment Tool</w:t>
      </w:r>
    </w:p>
    <w:p w:rsidR="00000000" w:rsidDel="00000000" w:rsidP="00000000" w:rsidRDefault="00000000" w:rsidRPr="00000000" w14:paraId="00000002">
      <w:pPr>
        <w:rPr>
          <w:rFonts w:ascii="Commissioner Light" w:cs="Commissioner Light" w:eastAsia="Commissioner Light" w:hAnsi="Commissioner Light"/>
          <w:i w:val="1"/>
          <w:iCs w:val="1"/>
        </w:rPr>
      </w:pPr>
      <w:r w:rsidDel="00000000" w:rsidR="00000000" w:rsidRPr="00000000">
        <w:rPr>
          <w:rFonts w:ascii="Commissioner Light" w:cs="Commissioner Light" w:eastAsia="Commissioner Light" w:hAnsi="Commissioner Light"/>
          <w:rtl w:val="0"/>
        </w:rPr>
        <w:t xml:space="preserve">Developed by</w:t>
      </w:r>
      <w:r w:rsidDel="00000000" w:rsidR="00000000" w:rsidRPr="00000000">
        <w:rPr>
          <w:rFonts w:ascii="Commissioner Light" w:cs="Commissioner Light" w:eastAsia="Commissioner Light" w:hAnsi="Commissioner Light"/>
          <w:i w:val="1"/>
          <w:iCs w:val="1"/>
          <w:rtl w:val="0"/>
        </w:rPr>
        <w:t xml:space="preserve"> realife Learning - licensed under creative commons non-commercial share-alike</w:t>
      </w:r>
    </w:p>
    <w:p w:rsidR="00000000" w:rsidDel="00000000" w:rsidP="00000000" w:rsidRDefault="00000000" w:rsidRPr="00000000" w14:paraId="00000003">
      <w:pPr>
        <w:pStyle w:val="Heading2"/>
        <w:keepNext w:val="0"/>
        <w:keepLines w:val="0"/>
        <w:spacing w:after="80" w:line="276" w:lineRule="auto"/>
        <w:rPr>
          <w:rFonts w:ascii="Commissioner Light" w:cs="Commissioner Light" w:eastAsia="Commissioner Light" w:hAnsi="Commissioner Light"/>
          <w:sz w:val="34"/>
          <w:szCs w:val="34"/>
        </w:rPr>
      </w:pPr>
      <w:bookmarkStart w:colFirst="0" w:colLast="0" w:name="_heading=h.h2i3lhdyv1u4" w:id="1"/>
      <w:bookmarkEnd w:id="1"/>
      <w:r w:rsidDel="00000000" w:rsidR="00000000" w:rsidRPr="00000000">
        <w:rPr>
          <w:rFonts w:ascii="Commissioner Light" w:cs="Commissioner Light" w:eastAsia="Commissioner Light" w:hAnsi="Commissioner Light"/>
          <w:sz w:val="34"/>
          <w:szCs w:val="34"/>
          <w:rtl w:val="0"/>
        </w:rPr>
        <w:t xml:space="preserve">Identifying your organisation's investment across the five value cycles</w:t>
      </w:r>
    </w:p>
    <w:p w:rsidR="00000000" w:rsidDel="00000000" w:rsidP="00000000" w:rsidRDefault="00000000" w:rsidRPr="00000000" w14:paraId="00000004">
      <w:pPr>
        <w:pStyle w:val="Heading3"/>
        <w:keepNext w:val="0"/>
        <w:keepLines w:val="0"/>
        <w:spacing w:before="280" w:line="276" w:lineRule="auto"/>
        <w:rPr>
          <w:rFonts w:ascii="Commissioner Light" w:cs="Commissioner Light" w:eastAsia="Commissioner Light" w:hAnsi="Commissioner Light"/>
          <w:color w:val="000000"/>
          <w:sz w:val="26"/>
          <w:szCs w:val="26"/>
        </w:rPr>
      </w:pPr>
      <w:bookmarkStart w:colFirst="0" w:colLast="0" w:name="_heading=h.r7fjca1eml98" w:id="2"/>
      <w:bookmarkEnd w:id="2"/>
      <w:r w:rsidDel="00000000" w:rsidR="00000000" w:rsidRPr="00000000">
        <w:rPr>
          <w:rFonts w:ascii="Commissioner Light" w:cs="Commissioner Light" w:eastAsia="Commissioner Light" w:hAnsi="Commissioner Light"/>
          <w:color w:val="000000"/>
          <w:sz w:val="26"/>
          <w:szCs w:val="26"/>
          <w:rtl w:val="0"/>
        </w:rPr>
        <w:t xml:space="preserve">How to Use This Tool</w:t>
      </w:r>
    </w:p>
    <w:p w:rsidR="00000000" w:rsidDel="00000000" w:rsidP="00000000" w:rsidRDefault="00000000" w:rsidRPr="00000000" w14:paraId="00000005">
      <w:pPr>
        <w:spacing w:after="240" w:before="240" w:line="276" w:lineRule="auto"/>
        <w:rPr>
          <w:rFonts w:ascii="Commissioner Light" w:cs="Commissioner Light" w:eastAsia="Commissioner Light" w:hAnsi="Commissioner Light"/>
        </w:rPr>
      </w:pPr>
      <w:r w:rsidDel="00000000" w:rsidR="00000000" w:rsidRPr="00000000">
        <w:rPr>
          <w:rFonts w:ascii="Commissioner Light" w:cs="Commissioner Light" w:eastAsia="Commissioner Light" w:hAnsi="Commissioner Light"/>
          <w:rtl w:val="0"/>
        </w:rPr>
        <w:t xml:space="preserve">This tool helps individual partners at the start of a reciprocal investment partnership identify and articulate the various forms of investment they bring. Read through each investment type then write your own description of what you contribute. Remember: all forms of investment are valuable, and you don't need to contribute to every category.</w:t>
      </w:r>
    </w:p>
    <w:p w:rsidR="00000000" w:rsidDel="00000000" w:rsidP="00000000" w:rsidRDefault="00000000" w:rsidRPr="00000000" w14:paraId="00000006">
      <w:pPr>
        <w:spacing w:line="276" w:lineRule="auto"/>
        <w:rPr>
          <w:rFonts w:ascii="Commissioner Light" w:cs="Commissioner Light" w:eastAsia="Commissioner Light" w:hAnsi="Commissioner Light"/>
        </w:rPr>
      </w:pPr>
      <w:r w:rsidDel="00000000" w:rsidR="00000000" w:rsidRPr="00000000">
        <w:rPr>
          <w:rtl w:val="0"/>
        </w:rPr>
      </w:r>
    </w:p>
    <w:sdt>
      <w:sdtPr>
        <w:lock w:val="contentLocked"/>
        <w:id w:val="1141126700"/>
        <w:tag w:val="goog_rdk_0"/>
      </w:sdtPr>
      <w:sdtContent>
        <w:tbl>
          <w:tblPr>
            <w:tblStyle w:val="Table1"/>
            <w:tblW w:w="1332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3330"/>
            <w:gridCol w:w="2265"/>
            <w:gridCol w:w="2505"/>
            <w:gridCol w:w="255"/>
            <w:gridCol w:w="255"/>
            <w:gridCol w:w="2565"/>
            <w:tblGridChange w:id="0">
              <w:tblGrid>
                <w:gridCol w:w="2145"/>
                <w:gridCol w:w="3330"/>
                <w:gridCol w:w="2265"/>
                <w:gridCol w:w="2505"/>
                <w:gridCol w:w="255"/>
                <w:gridCol w:w="255"/>
                <w:gridCol w:w="2565"/>
              </w:tblGrid>
            </w:tblGridChange>
          </w:tblGrid>
          <w:tr>
            <w:trPr>
              <w:cantSplit w:val="0"/>
              <w:trHeight w:val="540" w:hRule="atLeast"/>
              <w:tblHeader w:val="0"/>
            </w:trPr>
            <w:tc>
              <w:tcPr>
                <w:gridSpan w:val="7"/>
                <w:shd w:fill="93c47d"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Commissioner Light" w:cs="Commissioner Light" w:eastAsia="Commissioner Light" w:hAnsi="Commissioner Light"/>
                  </w:rPr>
                </w:pPr>
                <w:r w:rsidDel="00000000" w:rsidR="00000000" w:rsidRPr="00000000">
                  <w:rPr>
                    <w:rFonts w:ascii="Commissioner Light" w:cs="Commissioner Light" w:eastAsia="Commissioner Light" w:hAnsi="Commissioner Light"/>
                    <w:rtl w:val="0"/>
                  </w:rPr>
                  <w:t xml:space="preserve">Value: A reminder of what the different types of value mean. You can refer to these to ensure you have covered all these in the description of your investment. Taken from the Value Creation Framework, as developed by </w:t>
                </w:r>
                <w:hyperlink r:id="rId7">
                  <w:r w:rsidDel="00000000" w:rsidR="00000000" w:rsidRPr="00000000">
                    <w:rPr>
                      <w:rFonts w:ascii="Commissioner Light" w:cs="Commissioner Light" w:eastAsia="Commissioner Light" w:hAnsi="Commissioner Light"/>
                      <w:color w:val="1155cc"/>
                      <w:u w:val="single"/>
                      <w:rtl w:val="0"/>
                    </w:rPr>
                    <w:t xml:space="preserve">Wegner-Trayner</w:t>
                  </w:r>
                </w:hyperlink>
                <w:r w:rsidDel="00000000" w:rsidR="00000000" w:rsidRPr="00000000">
                  <w:rPr>
                    <w:rFonts w:ascii="Commissioner Light" w:cs="Commissioner Light" w:eastAsia="Commissioner Light" w:hAnsi="Commissioner Light"/>
                    <w:rtl w:val="0"/>
                  </w:rPr>
                  <w:t xml:space="preserve">).</w:t>
                </w:r>
              </w:p>
            </w:tc>
          </w:tr>
          <w:tr>
            <w:trPr>
              <w:cantSplit w:val="0"/>
              <w:trHeight w:val="17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Commissioner" w:cs="Commissioner" w:eastAsia="Commissioner" w:hAnsi="Commissioner"/>
                    <w:b w:val="1"/>
                    <w:bCs w:val="1"/>
                  </w:rPr>
                </w:pPr>
                <w:r w:rsidDel="00000000" w:rsidR="00000000" w:rsidRPr="00000000">
                  <w:rPr>
                    <w:rFonts w:ascii="Commissioner" w:cs="Commissioner" w:eastAsia="Commissioner" w:hAnsi="Commissioner"/>
                    <w:b w:val="1"/>
                    <w:bCs w:val="1"/>
                    <w:rtl w:val="0"/>
                  </w:rPr>
                  <w:t xml:space="preserve">Immediate value </w:t>
                </w:r>
              </w:p>
              <w:p w:rsidR="00000000" w:rsidDel="00000000" w:rsidP="00000000" w:rsidRDefault="00000000" w:rsidRPr="00000000" w14:paraId="0000000F">
                <w:pPr>
                  <w:widowControl w:val="0"/>
                  <w:spacing w:line="240" w:lineRule="auto"/>
                  <w:rPr>
                    <w:rFonts w:ascii="Commissioner Light" w:cs="Commissioner Light" w:eastAsia="Commissioner Light" w:hAnsi="Commissioner Light"/>
                  </w:rPr>
                </w:pPr>
                <w:r w:rsidDel="00000000" w:rsidR="00000000" w:rsidRPr="00000000">
                  <w:rPr>
                    <w:rFonts w:ascii="Commissioner Light" w:cs="Commissioner Light" w:eastAsia="Commissioner Light" w:hAnsi="Commissioner Light"/>
                    <w:i w:val="1"/>
                    <w:iCs w:val="1"/>
                    <w:rtl w:val="0"/>
                  </w:rPr>
                  <w:t xml:space="preserve">What benefits happen right away?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Commissioner Light" w:cs="Commissioner Light" w:eastAsia="Commissioner Light" w:hAnsi="Commissioner Light"/>
                  </w:rPr>
                </w:pPr>
                <w:r w:rsidDel="00000000" w:rsidR="00000000" w:rsidRPr="00000000">
                  <w:rPr>
                    <w:rFonts w:ascii="Commissioner" w:cs="Commissioner" w:eastAsia="Commissioner" w:hAnsi="Commissioner"/>
                    <w:b w:val="1"/>
                    <w:bCs w:val="1"/>
                    <w:rtl w:val="0"/>
                  </w:rPr>
                  <w:t xml:space="preserve">Potential value</w:t>
                </w:r>
                <w:r w:rsidDel="00000000" w:rsidR="00000000" w:rsidRPr="00000000">
                  <w:rPr>
                    <w:rFonts w:ascii="Commissioner Light" w:cs="Commissioner Light" w:eastAsia="Commissioner Light" w:hAnsi="Commissioner Light"/>
                    <w:rtl w:val="0"/>
                  </w:rPr>
                  <w:t xml:space="preserve"> </w:t>
                </w:r>
              </w:p>
              <w:p w:rsidR="00000000" w:rsidDel="00000000" w:rsidP="00000000" w:rsidRDefault="00000000" w:rsidRPr="00000000" w14:paraId="00000011">
                <w:pPr>
                  <w:widowControl w:val="0"/>
                  <w:spacing w:line="240" w:lineRule="auto"/>
                  <w:rPr>
                    <w:rFonts w:ascii="Commissioner Light" w:cs="Commissioner Light" w:eastAsia="Commissioner Light" w:hAnsi="Commissioner Light"/>
                  </w:rPr>
                </w:pPr>
                <w:r w:rsidDel="00000000" w:rsidR="00000000" w:rsidRPr="00000000">
                  <w:rPr>
                    <w:rFonts w:ascii="Commissioner Light" w:cs="Commissioner Light" w:eastAsia="Commissioner Light" w:hAnsi="Commissioner Light"/>
                    <w:i w:val="1"/>
                    <w:iCs w:val="1"/>
                    <w:rtl w:val="0"/>
                  </w:rPr>
                  <w:t xml:space="preserve">What capabilities have been built over time that we bring?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Commissioner Light" w:cs="Commissioner Light" w:eastAsia="Commissioner Light" w:hAnsi="Commissioner Light"/>
                  </w:rPr>
                </w:pPr>
                <w:r w:rsidDel="00000000" w:rsidR="00000000" w:rsidRPr="00000000">
                  <w:rPr>
                    <w:rFonts w:ascii="Commissioner" w:cs="Commissioner" w:eastAsia="Commissioner" w:hAnsi="Commissioner"/>
                    <w:b w:val="1"/>
                    <w:bCs w:val="1"/>
                    <w:rtl w:val="0"/>
                  </w:rPr>
                  <w:t xml:space="preserve">Applied value</w:t>
                </w:r>
                <w:r w:rsidDel="00000000" w:rsidR="00000000" w:rsidRPr="00000000">
                  <w:rPr>
                    <w:rFonts w:ascii="Commissioner Light" w:cs="Commissioner Light" w:eastAsia="Commissioner Light" w:hAnsi="Commissioner Light"/>
                    <w:rtl w:val="0"/>
                  </w:rPr>
                  <w:t xml:space="preserve"> </w:t>
                </w:r>
              </w:p>
              <w:p w:rsidR="00000000" w:rsidDel="00000000" w:rsidP="00000000" w:rsidRDefault="00000000" w:rsidRPr="00000000" w14:paraId="00000013">
                <w:pPr>
                  <w:widowControl w:val="0"/>
                  <w:spacing w:line="240" w:lineRule="auto"/>
                  <w:rPr>
                    <w:rFonts w:ascii="Commissioner Light" w:cs="Commissioner Light" w:eastAsia="Commissioner Light" w:hAnsi="Commissioner Light"/>
                  </w:rPr>
                </w:pPr>
                <w:r w:rsidDel="00000000" w:rsidR="00000000" w:rsidRPr="00000000">
                  <w:rPr>
                    <w:rFonts w:ascii="Commissioner Light" w:cs="Commissioner Light" w:eastAsia="Commissioner Light" w:hAnsi="Commissioner Light"/>
                    <w:i w:val="1"/>
                    <w:iCs w:val="1"/>
                    <w:rtl w:val="0"/>
                  </w:rPr>
                  <w:t xml:space="preserve">What do I bring that could be put to use for change?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Commissioner" w:cs="Commissioner" w:eastAsia="Commissioner" w:hAnsi="Commissioner"/>
                    <w:b w:val="1"/>
                    <w:bCs w:val="1"/>
                  </w:rPr>
                </w:pPr>
                <w:r w:rsidDel="00000000" w:rsidR="00000000" w:rsidRPr="00000000">
                  <w:rPr>
                    <w:rFonts w:ascii="Commissioner" w:cs="Commissioner" w:eastAsia="Commissioner" w:hAnsi="Commissioner"/>
                    <w:b w:val="1"/>
                    <w:bCs w:val="1"/>
                    <w:rtl w:val="0"/>
                  </w:rPr>
                  <w:t xml:space="preserve">Realised value </w:t>
                </w:r>
              </w:p>
              <w:p w:rsidR="00000000" w:rsidDel="00000000" w:rsidP="00000000" w:rsidRDefault="00000000" w:rsidRPr="00000000" w14:paraId="00000015">
                <w:pPr>
                  <w:widowControl w:val="0"/>
                  <w:spacing w:line="240" w:lineRule="auto"/>
                  <w:rPr>
                    <w:rFonts w:ascii="Commissioner Light" w:cs="Commissioner Light" w:eastAsia="Commissioner Light" w:hAnsi="Commissioner Light"/>
                  </w:rPr>
                </w:pPr>
                <w:r w:rsidDel="00000000" w:rsidR="00000000" w:rsidRPr="00000000">
                  <w:rPr>
                    <w:rFonts w:ascii="Commissioner Light" w:cs="Commissioner Light" w:eastAsia="Commissioner Light" w:hAnsi="Commissioner Light"/>
                    <w:i w:val="1"/>
                    <w:iCs w:val="1"/>
                    <w:rtl w:val="0"/>
                  </w:rPr>
                  <w:t xml:space="preserve">What meaningful changes would immediately become visible with what we bring?</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ommissioner" w:cs="Commissioner" w:eastAsia="Commissioner" w:hAnsi="Commissioner"/>
                    <w:b w:val="1"/>
                    <w:bCs w:val="1"/>
                  </w:rPr>
                </w:pPr>
                <w:r w:rsidDel="00000000" w:rsidR="00000000" w:rsidRPr="00000000">
                  <w:rPr>
                    <w:rFonts w:ascii="Commissioner" w:cs="Commissioner" w:eastAsia="Commissioner" w:hAnsi="Commissioner"/>
                    <w:b w:val="1"/>
                    <w:bCs w:val="1"/>
                    <w:rtl w:val="0"/>
                  </w:rPr>
                  <w:t xml:space="preserve">Reframing value </w:t>
                </w:r>
              </w:p>
              <w:p w:rsidR="00000000" w:rsidDel="00000000" w:rsidP="00000000" w:rsidRDefault="00000000" w:rsidRPr="00000000" w14:paraId="00000017">
                <w:pPr>
                  <w:widowControl w:val="0"/>
                  <w:spacing w:line="240" w:lineRule="auto"/>
                  <w:rPr>
                    <w:rFonts w:ascii="Commissioner Light" w:cs="Commissioner Light" w:eastAsia="Commissioner Light" w:hAnsi="Commissioner Light"/>
                  </w:rPr>
                </w:pPr>
                <w:r w:rsidDel="00000000" w:rsidR="00000000" w:rsidRPr="00000000">
                  <w:rPr>
                    <w:rFonts w:ascii="Commissioner Light" w:cs="Commissioner Light" w:eastAsia="Commissioner Light" w:hAnsi="Commissioner Light"/>
                    <w:i w:val="1"/>
                    <w:iCs w:val="1"/>
                    <w:rtl w:val="0"/>
                  </w:rPr>
                  <w:t xml:space="preserve">How does what we bring change thinking?</w:t>
                </w:r>
                <w:r w:rsidDel="00000000" w:rsidR="00000000" w:rsidRPr="00000000">
                  <w:rPr>
                    <w:rtl w:val="0"/>
                  </w:rPr>
                </w:r>
              </w:p>
            </w:tc>
          </w:tr>
          <w:tr>
            <w:trPr>
              <w:cantSplit w:val="0"/>
              <w:trHeight w:val="420" w:hRule="atLeast"/>
              <w:tblHeader w:val="0"/>
            </w:trPr>
            <w:tc>
              <w:tcPr>
                <w:shd w:fill="93c47d"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ommissioner Light" w:cs="Commissioner Light" w:eastAsia="Commissioner Light" w:hAnsi="Commissioner Light"/>
                  </w:rPr>
                </w:pPr>
                <w:r w:rsidDel="00000000" w:rsidR="00000000" w:rsidRPr="00000000">
                  <w:rPr>
                    <w:rFonts w:ascii="Commissioner Light" w:cs="Commissioner Light" w:eastAsia="Commissioner Light" w:hAnsi="Commissioner Light"/>
                    <w:rtl w:val="0"/>
                  </w:rPr>
                  <w:t xml:space="preserve">Investments </w:t>
                </w:r>
              </w:p>
            </w:tc>
            <w:tc>
              <w:tcPr>
                <w:shd w:fill="93c47d"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ommissioner Light" w:cs="Commissioner Light" w:eastAsia="Commissioner Light" w:hAnsi="Commissioner Light"/>
                  </w:rPr>
                </w:pPr>
                <w:r w:rsidDel="00000000" w:rsidR="00000000" w:rsidRPr="00000000">
                  <w:rPr>
                    <w:rFonts w:ascii="Commissioner Light" w:cs="Commissioner Light" w:eastAsia="Commissioner Light" w:hAnsi="Commissioner Light"/>
                    <w:rtl w:val="0"/>
                  </w:rPr>
                  <w:t xml:space="preserve">Description </w:t>
                </w:r>
              </w:p>
            </w:tc>
            <w:tc>
              <w:tcPr>
                <w:gridSpan w:val="5"/>
                <w:shd w:fill="93c47d"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ommissioner Light" w:cs="Commissioner Light" w:eastAsia="Commissioner Light" w:hAnsi="Commissioner Light"/>
                  </w:rPr>
                </w:pPr>
                <w:r w:rsidDel="00000000" w:rsidR="00000000" w:rsidRPr="00000000">
                  <w:rPr>
                    <w:rFonts w:ascii="Commissioner Light" w:cs="Commissioner Light" w:eastAsia="Commissioner Light" w:hAnsi="Commissioner Light"/>
                    <w:rtl w:val="0"/>
                  </w:rPr>
                  <w:t xml:space="preserve">Your answer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numPr>
                    <w:ilvl w:val="0"/>
                    <w:numId w:val="1"/>
                  </w:numPr>
                  <w:spacing w:line="240" w:lineRule="auto"/>
                  <w:ind w:left="720" w:hanging="360"/>
                  <w:rPr>
                    <w:rFonts w:ascii="Commissioner Light" w:cs="Commissioner Light" w:eastAsia="Commissioner Light" w:hAnsi="Commissioner Light"/>
                  </w:rPr>
                </w:pPr>
                <w:r w:rsidDel="00000000" w:rsidR="00000000" w:rsidRPr="00000000">
                  <w:rPr>
                    <w:rFonts w:ascii="Commissioner Light" w:cs="Commissioner Light" w:eastAsia="Commissioner Light" w:hAnsi="Commissioner Light"/>
                    <w:rtl w:val="0"/>
                  </w:rPr>
                  <w:t xml:space="preserve">Land based investment </w:t>
                </w:r>
              </w:p>
              <w:p w:rsidR="00000000" w:rsidDel="00000000" w:rsidP="00000000" w:rsidRDefault="00000000" w:rsidRPr="00000000" w14:paraId="00000022">
                <w:pPr>
                  <w:widowControl w:val="0"/>
                  <w:spacing w:line="240" w:lineRule="auto"/>
                  <w:rPr>
                    <w:rFonts w:ascii="Commissioner Light" w:cs="Commissioner Light" w:eastAsia="Commissioner Light" w:hAnsi="Commissioner Light"/>
                  </w:rPr>
                </w:pPr>
                <w:r w:rsidDel="00000000" w:rsidR="00000000" w:rsidRPr="00000000">
                  <w:rPr>
                    <w:rtl w:val="0"/>
                  </w:rPr>
                </w:r>
              </w:p>
              <w:p w:rsidR="00000000" w:rsidDel="00000000" w:rsidP="00000000" w:rsidRDefault="00000000" w:rsidRPr="00000000" w14:paraId="00000023">
                <w:pPr>
                  <w:widowControl w:val="0"/>
                  <w:spacing w:line="240" w:lineRule="auto"/>
                  <w:rPr>
                    <w:rFonts w:ascii="Commissioner Light" w:cs="Commissioner Light" w:eastAsia="Commissioner Light" w:hAnsi="Commissioner Ligh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ommissioner Light" w:cs="Commissioner Light" w:eastAsia="Commissioner Light" w:hAnsi="Commissioner Light"/>
                    <w:sz w:val="20"/>
                    <w:szCs w:val="20"/>
                  </w:rPr>
                </w:pPr>
                <w:r w:rsidDel="00000000" w:rsidR="00000000" w:rsidRPr="00000000">
                  <w:rPr>
                    <w:rFonts w:ascii="Commissioner Light" w:cs="Commissioner Light" w:eastAsia="Commissioner Light" w:hAnsi="Commissioner Light"/>
                    <w:sz w:val="20"/>
                    <w:szCs w:val="20"/>
                    <w:rtl w:val="0"/>
                  </w:rPr>
                  <w:t xml:space="preserve">Land-based investment involves contributing physical space, natural resources, and ecological stewardship that enables regenerative practices and provides a foundation for collaborative work. This includes access to land for various activities, infrastructure like buildings and utilities, environmental restoration work, place-based knowledge about local ecosystems and culture, capacity to produce food and materials from the land, and spaces that hold cultural or spiritual significance for communities.</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ommissioner Light" w:cs="Commissioner Light" w:eastAsia="Commissioner Light" w:hAnsi="Commissioner Light"/>
                    <w:i w:val="1"/>
                    <w:iCs w:val="1"/>
                    <w:color w:val="ff00ff"/>
                  </w:rPr>
                </w:pPr>
                <w:r w:rsidDel="00000000" w:rsidR="00000000" w:rsidRPr="00000000">
                  <w:rPr>
                    <w:rFonts w:ascii="Commissioner Light" w:cs="Commissioner Light" w:eastAsia="Commissioner Light" w:hAnsi="Commissioner Light"/>
                    <w:i w:val="1"/>
                    <w:iCs w:val="1"/>
                    <w:rtl w:val="0"/>
                  </w:rPr>
                  <w:t xml:space="preserve">What physical spaces, infrastructure, environmental stewardship, place-based knowledge, production capacity, or culturally significant spaces do you contribute to the partnership?</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numPr>
                    <w:ilvl w:val="0"/>
                    <w:numId w:val="1"/>
                  </w:numPr>
                  <w:spacing w:line="240" w:lineRule="auto"/>
                  <w:ind w:left="720" w:hanging="360"/>
                  <w:rPr>
                    <w:rFonts w:ascii="Commissioner Light" w:cs="Commissioner Light" w:eastAsia="Commissioner Light" w:hAnsi="Commissioner Light"/>
                  </w:rPr>
                </w:pPr>
                <w:r w:rsidDel="00000000" w:rsidR="00000000" w:rsidRPr="00000000">
                  <w:rPr>
                    <w:rFonts w:ascii="Commissioner Light" w:cs="Commissioner Light" w:eastAsia="Commissioner Light" w:hAnsi="Commissioner Light"/>
                    <w:rtl w:val="0"/>
                  </w:rPr>
                  <w:t xml:space="preserve">Knowledge and Narrative Investment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ommissioner Light" w:cs="Commissioner Light" w:eastAsia="Commissioner Light" w:hAnsi="Commissioner Light"/>
                    <w:sz w:val="20"/>
                    <w:szCs w:val="20"/>
                  </w:rPr>
                </w:pPr>
                <w:r w:rsidDel="00000000" w:rsidR="00000000" w:rsidRPr="00000000">
                  <w:rPr>
                    <w:rFonts w:ascii="Commissioner Light" w:cs="Commissioner Light" w:eastAsia="Commissioner Light" w:hAnsi="Commissioner Light"/>
                    <w:sz w:val="20"/>
                    <w:szCs w:val="20"/>
                    <w:rtl w:val="0"/>
                  </w:rPr>
                  <w:t xml:space="preserve">Knowledge and narrative investment involves sharing, protecting, and co-creating intellectual, cultural, and strategic knowledge, including the power to control how stories are told and meaning is made. This includes indigenous and place-based knowledge about ecological and social systems, technical expertise and professional skills, cultural knowledge and practices, strategic analysis and research capabilities, the right to tell one's own story and frame issues, learning design and facilitation abilities, documentation and knowledge preservation work, and translation across different knowledge systems.</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Commissioner Light" w:cs="Commissioner Light" w:eastAsia="Commissioner Light" w:hAnsi="Commissioner Light"/>
                    <w:i w:val="1"/>
                    <w:iCs w:val="1"/>
                    <w:color w:val="38761d"/>
                  </w:rPr>
                </w:pPr>
                <w:r w:rsidDel="00000000" w:rsidR="00000000" w:rsidRPr="00000000">
                  <w:rPr>
                    <w:rtl w:val="0"/>
                  </w:rPr>
                </w:r>
              </w:p>
              <w:p w:rsidR="00000000" w:rsidDel="00000000" w:rsidP="00000000" w:rsidRDefault="00000000" w:rsidRPr="00000000" w14:paraId="0000002D">
                <w:pPr>
                  <w:widowControl w:val="0"/>
                  <w:spacing w:line="240" w:lineRule="auto"/>
                  <w:rPr>
                    <w:rFonts w:ascii="Commissioner Light" w:cs="Commissioner Light" w:eastAsia="Commissioner Light" w:hAnsi="Commissioner Light"/>
                    <w:i w:val="1"/>
                    <w:iCs w:val="1"/>
                  </w:rPr>
                </w:pPr>
                <w:r w:rsidDel="00000000" w:rsidR="00000000" w:rsidRPr="00000000">
                  <w:rPr>
                    <w:rFonts w:ascii="Commissioner Light" w:cs="Commissioner Light" w:eastAsia="Commissioner Light" w:hAnsi="Commissioner Light"/>
                    <w:i w:val="1"/>
                    <w:iCs w:val="1"/>
                    <w:rtl w:val="0"/>
                  </w:rPr>
                  <w:t xml:space="preserve">What knowledge, expertise, cultural understanding, research capabilities, storytelling abilities, or learning facilitation do you contribute?</w:t>
                </w:r>
              </w:p>
              <w:p w:rsidR="00000000" w:rsidDel="00000000" w:rsidP="00000000" w:rsidRDefault="00000000" w:rsidRPr="00000000" w14:paraId="0000002E">
                <w:pPr>
                  <w:widowControl w:val="0"/>
                  <w:spacing w:line="240" w:lineRule="auto"/>
                  <w:rPr>
                    <w:rFonts w:ascii="Commissioner Light" w:cs="Commissioner Light" w:eastAsia="Commissioner Light" w:hAnsi="Commissioner Light"/>
                    <w:i w:val="1"/>
                    <w:iCs w:val="1"/>
                  </w:rPr>
                </w:pPr>
                <w:r w:rsidDel="00000000" w:rsidR="00000000" w:rsidRPr="00000000">
                  <w:rPr>
                    <w:rtl w:val="0"/>
                  </w:rPr>
                </w:r>
              </w:p>
              <w:p w:rsidR="00000000" w:rsidDel="00000000" w:rsidP="00000000" w:rsidRDefault="00000000" w:rsidRPr="00000000" w14:paraId="0000002F">
                <w:pPr>
                  <w:widowControl w:val="0"/>
                  <w:spacing w:line="240" w:lineRule="auto"/>
                  <w:rPr>
                    <w:rFonts w:ascii="Commissioner Light" w:cs="Commissioner Light" w:eastAsia="Commissioner Light" w:hAnsi="Commissioner Light"/>
                    <w:i w:val="1"/>
                    <w:iCs w:val="1"/>
                    <w:color w:val="ff000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ind w:left="720" w:hanging="360"/>
                  <w:rPr>
                    <w:rFonts w:ascii="Commissioner Light" w:cs="Commissioner Light" w:eastAsia="Commissioner Light" w:hAnsi="Commissioner Light"/>
                  </w:rPr>
                </w:pPr>
                <w:r w:rsidDel="00000000" w:rsidR="00000000" w:rsidRPr="00000000">
                  <w:rPr>
                    <w:rFonts w:ascii="Commissioner Light" w:cs="Commissioner Light" w:eastAsia="Commissioner Light" w:hAnsi="Commissioner Light"/>
                    <w:rtl w:val="0"/>
                  </w:rPr>
                  <w:t xml:space="preserve">3. Financial Investment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Commissioner Light" w:cs="Commissioner Light" w:eastAsia="Commissioner Light" w:hAnsi="Commissioner Light"/>
                    <w:sz w:val="20"/>
                    <w:szCs w:val="20"/>
                  </w:rPr>
                </w:pPr>
                <w:r w:rsidDel="00000000" w:rsidR="00000000" w:rsidRPr="00000000">
                  <w:rPr>
                    <w:rFonts w:ascii="Commissioner Light" w:cs="Commissioner Light" w:eastAsia="Commissioner Light" w:hAnsi="Commissioner Light"/>
                    <w:sz w:val="20"/>
                    <w:szCs w:val="20"/>
                    <w:rtl w:val="0"/>
                  </w:rPr>
                  <w:t xml:space="preserve">Financial investment involves monetary contributions that support shared work, provided with flexibility and without expectation of financial return, structured to support autonomy rather than control. This includes core funding that supports organizational autonomy and long-term sustainability, project funding for specific collaborative initiatives, infrastructure investment in buildings and equipment, capacity building funds for staff and training, emergency funds for unexpected needs, and resource sharing that reduces costs for partner organizations.</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Commissioner Light" w:cs="Commissioner Light" w:eastAsia="Commissioner Light" w:hAnsi="Commissioner Light"/>
                    <w:i w:val="1"/>
                    <w:iCs w:val="1"/>
                  </w:rPr>
                </w:pPr>
                <w:r w:rsidDel="00000000" w:rsidR="00000000" w:rsidRPr="00000000">
                  <w:rPr>
                    <w:rFonts w:ascii="Commissioner Light" w:cs="Commissioner Light" w:eastAsia="Commissioner Light" w:hAnsi="Commissioner Light"/>
                    <w:i w:val="1"/>
                    <w:iCs w:val="1"/>
                    <w:rtl w:val="0"/>
                  </w:rPr>
                  <w:t xml:space="preserve">What monetary contributions, funding, infrastructure investment, capacity building support, or resource sharing do you provide?</w:t>
                </w:r>
              </w:p>
              <w:p w:rsidR="00000000" w:rsidDel="00000000" w:rsidP="00000000" w:rsidRDefault="00000000" w:rsidRPr="00000000" w14:paraId="00000037">
                <w:pPr>
                  <w:widowControl w:val="0"/>
                  <w:spacing w:line="240" w:lineRule="auto"/>
                  <w:rPr>
                    <w:rFonts w:ascii="Commissioner Light" w:cs="Commissioner Light" w:eastAsia="Commissioner Light" w:hAnsi="Commissioner Light"/>
                    <w:i w:val="1"/>
                    <w:iCs w:val="1"/>
                  </w:rPr>
                </w:pPr>
                <w:r w:rsidDel="00000000" w:rsidR="00000000" w:rsidRPr="00000000">
                  <w:rPr>
                    <w:rtl w:val="0"/>
                  </w:rPr>
                </w:r>
              </w:p>
              <w:p w:rsidR="00000000" w:rsidDel="00000000" w:rsidP="00000000" w:rsidRDefault="00000000" w:rsidRPr="00000000" w14:paraId="00000038">
                <w:pPr>
                  <w:widowControl w:val="0"/>
                  <w:spacing w:line="240" w:lineRule="auto"/>
                  <w:rPr>
                    <w:rFonts w:ascii="Commissioner Light" w:cs="Commissioner Light" w:eastAsia="Commissioner Light" w:hAnsi="Commissioner Light"/>
                    <w:i w:val="1"/>
                    <w:iCs w:val="1"/>
                    <w:color w:val="ffffff"/>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ind w:left="720" w:hanging="360"/>
                  <w:rPr>
                    <w:rFonts w:ascii="Commissioner Light" w:cs="Commissioner Light" w:eastAsia="Commissioner Light" w:hAnsi="Commissioner Light"/>
                  </w:rPr>
                </w:pPr>
                <w:r w:rsidDel="00000000" w:rsidR="00000000" w:rsidRPr="00000000">
                  <w:rPr>
                    <w:rFonts w:ascii="Commissioner Light" w:cs="Commissioner Light" w:eastAsia="Commissioner Light" w:hAnsi="Commissioner Light"/>
                    <w:rtl w:val="0"/>
                  </w:rPr>
                  <w:t xml:space="preserve">4. Labour and Time Investment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Commissioner Light" w:cs="Commissioner Light" w:eastAsia="Commissioner Light" w:hAnsi="Commissioner Light"/>
                    <w:sz w:val="20"/>
                    <w:szCs w:val="20"/>
                  </w:rPr>
                </w:pPr>
                <w:r w:rsidDel="00000000" w:rsidR="00000000" w:rsidRPr="00000000">
                  <w:rPr>
                    <w:rFonts w:ascii="Commissioner Light" w:cs="Commissioner Light" w:eastAsia="Commissioner Light" w:hAnsi="Commissioner Light"/>
                    <w:sz w:val="20"/>
                    <w:szCs w:val="20"/>
                    <w:rtl w:val="0"/>
                  </w:rPr>
                  <w:t xml:space="preserve">Labour and time investment involves contributing human energy, skills, and presence to shared work, recognizing both visible tasks and invisible care work that enables collaboration. This includes direct labor on shared projects and initiatives, facilitation and coordination of collaborative processes, administrative and logistical support that enables projects to function, care work and emotional labor that maintains relationships, skill sharing and training that builds collective capacity, research and analysis that informs strategy, organizing and advocacy work, and presence and availability for urgent needs.</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Commissioner Light" w:cs="Commissioner Light" w:eastAsia="Commissioner Light" w:hAnsi="Commissioner Light"/>
                    <w:i w:val="1"/>
                    <w:iCs w:val="1"/>
                  </w:rPr>
                </w:pPr>
                <w:r w:rsidDel="00000000" w:rsidR="00000000" w:rsidRPr="00000000">
                  <w:rPr>
                    <w:rFonts w:ascii="Commissioner Light" w:cs="Commissioner Light" w:eastAsia="Commissioner Light" w:hAnsi="Commissioner Light"/>
                    <w:i w:val="1"/>
                    <w:iCs w:val="1"/>
                    <w:rtl w:val="0"/>
                  </w:rPr>
                  <w:t xml:space="preserve">What direct work, facilitation, administrative support, care work, skill sharing, research, organizing, or availability do you contribute?</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ind w:left="720" w:hanging="360"/>
                  <w:rPr>
                    <w:rFonts w:ascii="Commissioner Light" w:cs="Commissioner Light" w:eastAsia="Commissioner Light" w:hAnsi="Commissioner Light"/>
                  </w:rPr>
                </w:pPr>
                <w:r w:rsidDel="00000000" w:rsidR="00000000" w:rsidRPr="00000000">
                  <w:rPr>
                    <w:rFonts w:ascii="Commissioner Light" w:cs="Commissioner Light" w:eastAsia="Commissioner Light" w:hAnsi="Commissioner Light"/>
                    <w:rtl w:val="0"/>
                  </w:rPr>
                  <w:t xml:space="preserve">5. Relationships and Solidarity Investment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Commissioner Light" w:cs="Commissioner Light" w:eastAsia="Commissioner Light" w:hAnsi="Commissioner Light"/>
                    <w:sz w:val="20"/>
                    <w:szCs w:val="20"/>
                  </w:rPr>
                </w:pPr>
                <w:r w:rsidDel="00000000" w:rsidR="00000000" w:rsidRPr="00000000">
                  <w:rPr>
                    <w:rFonts w:ascii="Commissioner Light" w:cs="Commissioner Light" w:eastAsia="Commissioner Light" w:hAnsi="Commissioner Light"/>
                    <w:sz w:val="20"/>
                    <w:szCs w:val="20"/>
                    <w:rtl w:val="0"/>
                  </w:rPr>
                  <w:t xml:space="preserve">Relationships and solidarity investment involves contributing social connections, trust-building, emotional support, and long-term commitment to collective wellbeing and shared struggle. This includes trust-building through consistent presence and mutual support, network access and introductions to strategic contacts, emotional and spiritual support during challenging times, conflict transformation when relationships are strained, public advocacy and support for partner organizations, long-term commitment that extends beyond specific projects, cultural bridge-building across different communities, and reputation sharing through mutual endorsement.</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Commissioner Light" w:cs="Commissioner Light" w:eastAsia="Commissioner Light" w:hAnsi="Commissioner Light"/>
                    <w:i w:val="1"/>
                    <w:iCs w:val="1"/>
                    <w:color w:val="ff0000"/>
                  </w:rPr>
                </w:pPr>
                <w:r w:rsidDel="00000000" w:rsidR="00000000" w:rsidRPr="00000000">
                  <w:rPr>
                    <w:rFonts w:ascii="Commissioner Light" w:cs="Commissioner Light" w:eastAsia="Commissioner Light" w:hAnsi="Commissioner Light"/>
                    <w:i w:val="1"/>
                    <w:iCs w:val="1"/>
                    <w:rtl w:val="0"/>
                  </w:rPr>
                  <w:t xml:space="preserve">What trust-building, network access, emotional support, conflict transformation, advocacy, long-term commitment, bridge-building, or reputation sharing do you contribute?</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ind w:left="720" w:hanging="360"/>
                  <w:rPr>
                    <w:rFonts w:ascii="Commissioner Light" w:cs="Commissioner Light" w:eastAsia="Commissioner Light" w:hAnsi="Commissioner Light"/>
                  </w:rPr>
                </w:pPr>
                <w:r w:rsidDel="00000000" w:rsidR="00000000" w:rsidRPr="00000000">
                  <w:rPr>
                    <w:rFonts w:ascii="Commissioner Light" w:cs="Commissioner Light" w:eastAsia="Commissioner Light" w:hAnsi="Commissioner Light"/>
                    <w:rtl w:val="0"/>
                  </w:rPr>
                  <w:t xml:space="preserve">6. Political and Institutional Investment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Commissioner Light" w:cs="Commissioner Light" w:eastAsia="Commissioner Light" w:hAnsi="Commissioner Light"/>
                    <w:sz w:val="20"/>
                    <w:szCs w:val="20"/>
                  </w:rPr>
                </w:pPr>
                <w:r w:rsidDel="00000000" w:rsidR="00000000" w:rsidRPr="00000000">
                  <w:rPr>
                    <w:rFonts w:ascii="Commissioner Light" w:cs="Commissioner Light" w:eastAsia="Commissioner Light" w:hAnsi="Commissioner Light"/>
                    <w:sz w:val="20"/>
                    <w:szCs w:val="20"/>
                    <w:rtl w:val="0"/>
                  </w:rPr>
                  <w:t xml:space="preserve">Political and institutional investment involves using privilege, access, and institutional power to advance shared goals and challenge systems of oppression, including advocacy and strategic positioning work. This includes policy advocacy and lobbying for systemic change, institutional reform within organizations and systems, strategic positioning and coalition building, platform sharing and amplification of marginalized voices, legal support and protection for vulnerable communities, leveraging privilege to open doors and access resources, sharing risks when challenging powerful interests, and lending legitimacy through association and endorsement.</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Commissioner Light" w:cs="Commissioner Light" w:eastAsia="Commissioner Light" w:hAnsi="Commissioner Light"/>
                    <w:i w:val="1"/>
                    <w:iCs w:val="1"/>
                    <w:color w:val="ff00ff"/>
                  </w:rPr>
                </w:pPr>
                <w:r w:rsidDel="00000000" w:rsidR="00000000" w:rsidRPr="00000000">
                  <w:rPr>
                    <w:rFonts w:ascii="Commissioner Light" w:cs="Commissioner Light" w:eastAsia="Commissioner Light" w:hAnsi="Commissioner Light"/>
                    <w:i w:val="1"/>
                    <w:iCs w:val="1"/>
                    <w:rtl w:val="0"/>
                  </w:rPr>
                  <w:t xml:space="preserve">What policy advocacy, institutional access, platform sharing, legal support, privilege leveraging, risk sharing, or legitimacy lending do you contribute?</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ind w:left="720" w:hanging="360"/>
                  <w:rPr>
                    <w:rFonts w:ascii="Commissioner Light" w:cs="Commissioner Light" w:eastAsia="Commissioner Light" w:hAnsi="Commissioner Light"/>
                  </w:rPr>
                </w:pPr>
                <w:r w:rsidDel="00000000" w:rsidR="00000000" w:rsidRPr="00000000">
                  <w:rPr>
                    <w:rFonts w:ascii="Commissioner Light" w:cs="Commissioner Light" w:eastAsia="Commissioner Light" w:hAnsi="Commissioner Light"/>
                    <w:rtl w:val="0"/>
                  </w:rPr>
                  <w:t xml:space="preserve">7. Learning, Evaluation, and Reflexivity Investment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Commissioner Light" w:cs="Commissioner Light" w:eastAsia="Commissioner Light" w:hAnsi="Commissioner Light"/>
                    <w:sz w:val="20"/>
                    <w:szCs w:val="20"/>
                  </w:rPr>
                </w:pPr>
                <w:r w:rsidDel="00000000" w:rsidR="00000000" w:rsidRPr="00000000">
                  <w:rPr>
                    <w:rFonts w:ascii="Commissioner Light" w:cs="Commissioner Light" w:eastAsia="Commissioner Light" w:hAnsi="Commissioner Light"/>
                    <w:sz w:val="20"/>
                    <w:szCs w:val="20"/>
                    <w:rtl w:val="0"/>
                  </w:rPr>
                  <w:t xml:space="preserve">Learning and reflexivity investment involves contributing reflective capacity, evaluation expertise, and commitment to continuous learning and adaptation in service of collective transformation. This includes facilitating reflection and learning processes, designing monitoring and evaluation that serves all partners, documenting and storytelling that captures learning and change, conflict mediation and restorative justice processes, strategic planning and visioning facilitation, research and analysis that informs adaptation, holding space for difficult conversations and collective processing, and developing methodologies for transformative learning.</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Commissioner Light" w:cs="Commissioner Light" w:eastAsia="Commissioner Light" w:hAnsi="Commissioner Light"/>
                    <w:i w:val="1"/>
                    <w:iCs w:val="1"/>
                  </w:rPr>
                </w:pPr>
                <w:r w:rsidDel="00000000" w:rsidR="00000000" w:rsidRPr="00000000">
                  <w:rPr>
                    <w:rFonts w:ascii="Commissioner Light" w:cs="Commissioner Light" w:eastAsia="Commissioner Light" w:hAnsi="Commissioner Light"/>
                    <w:i w:val="1"/>
                    <w:iCs w:val="1"/>
                    <w:rtl w:val="0"/>
                  </w:rPr>
                  <w:t xml:space="preserve">What facilitation, evaluation design, documentation, conflict mediation, strategic planning, research, space-holding, or methodology development do you contribute?</w:t>
                </w:r>
              </w:p>
              <w:p w:rsidR="00000000" w:rsidDel="00000000" w:rsidP="00000000" w:rsidRDefault="00000000" w:rsidRPr="00000000" w14:paraId="00000055">
                <w:pPr>
                  <w:widowControl w:val="0"/>
                  <w:spacing w:line="240" w:lineRule="auto"/>
                  <w:rPr>
                    <w:rFonts w:ascii="Commissioner Light" w:cs="Commissioner Light" w:eastAsia="Commissioner Light" w:hAnsi="Commissioner Light"/>
                    <w:i w:val="1"/>
                    <w:iCs w:val="1"/>
                  </w:rPr>
                </w:pPr>
                <w:r w:rsidDel="00000000" w:rsidR="00000000" w:rsidRPr="00000000">
                  <w:rPr>
                    <w:rtl w:val="0"/>
                  </w:rPr>
                </w:r>
              </w:p>
              <w:p w:rsidR="00000000" w:rsidDel="00000000" w:rsidP="00000000" w:rsidRDefault="00000000" w:rsidRPr="00000000" w14:paraId="00000056">
                <w:pPr>
                  <w:widowControl w:val="0"/>
                  <w:spacing w:line="240" w:lineRule="auto"/>
                  <w:rPr>
                    <w:rFonts w:ascii="Commissioner Light" w:cs="Commissioner Light" w:eastAsia="Commissioner Light" w:hAnsi="Commissioner Light"/>
                    <w:i w:val="1"/>
                    <w:iCs w:val="1"/>
                    <w:color w:val="ff000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ind w:left="720" w:hanging="360"/>
                  <w:rPr>
                    <w:rFonts w:ascii="Commissioner Light" w:cs="Commissioner Light" w:eastAsia="Commissioner Light" w:hAnsi="Commissioner Light"/>
                  </w:rPr>
                </w:pPr>
                <w:r w:rsidDel="00000000" w:rsidR="00000000" w:rsidRPr="00000000">
                  <w:rPr>
                    <w:rFonts w:ascii="Commissioner Light" w:cs="Commissioner Light" w:eastAsia="Commissioner Light" w:hAnsi="Commissioner Light"/>
                    <w:rtl w:val="0"/>
                  </w:rPr>
                  <w:t xml:space="preserve">8. Other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Commissioner Light" w:cs="Commissioner Light" w:eastAsia="Commissioner Light" w:hAnsi="Commissioner Light"/>
                    <w:sz w:val="20"/>
                    <w:szCs w:val="20"/>
                  </w:rPr>
                </w:pPr>
                <w:r w:rsidDel="00000000" w:rsidR="00000000" w:rsidRPr="00000000">
                  <w:rPr>
                    <w:rFonts w:ascii="Commissioner Light" w:cs="Commissioner Light" w:eastAsia="Commissioner Light" w:hAnsi="Commissioner Light"/>
                    <w:sz w:val="20"/>
                    <w:szCs w:val="20"/>
                    <w:rtl w:val="0"/>
                  </w:rPr>
                  <w:t xml:space="preserve">Every partnership is unique, and partners may contribute valuable investments that don't fit neatly into the categories above. These "other" investments might include creative and artistic contributions, spiritual and ceremonial offerings, technological and digital resources, specialized professional services, international connections, youth engagement and mentorship, elder wisdom and guidance, healing and wellness support, cultural preservation work, or innovative approaches that emerge from your specific context and community needs.</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Commissioner Light" w:cs="Commissioner Light" w:eastAsia="Commissioner Light" w:hAnsi="Commissioner Light"/>
                    <w:i w:val="1"/>
                    <w:iCs w:val="1"/>
                  </w:rPr>
                </w:pPr>
                <w:r w:rsidDel="00000000" w:rsidR="00000000" w:rsidRPr="00000000">
                  <w:rPr>
                    <w:rFonts w:ascii="Commissioner Light" w:cs="Commissioner Light" w:eastAsia="Commissioner Light" w:hAnsi="Commissioner Light"/>
                    <w:i w:val="1"/>
                    <w:iCs w:val="1"/>
                    <w:rtl w:val="0"/>
                  </w:rPr>
                  <w:t xml:space="preserve">What unique contributions do you bring that don't fit the other categories? What special skills, connections, perspectives, or resources do you offer?</w:t>
                </w:r>
              </w:p>
              <w:p w:rsidR="00000000" w:rsidDel="00000000" w:rsidP="00000000" w:rsidRDefault="00000000" w:rsidRPr="00000000" w14:paraId="0000005E">
                <w:pPr>
                  <w:widowControl w:val="0"/>
                  <w:spacing w:line="240" w:lineRule="auto"/>
                  <w:rPr>
                    <w:rFonts w:ascii="Commissioner Light" w:cs="Commissioner Light" w:eastAsia="Commissioner Light" w:hAnsi="Commissioner Light"/>
                    <w:i w:val="1"/>
                    <w:iCs w:val="1"/>
                  </w:rPr>
                </w:pPr>
                <w:r w:rsidDel="00000000" w:rsidR="00000000" w:rsidRPr="00000000">
                  <w:rPr>
                    <w:rtl w:val="0"/>
                  </w:rPr>
                </w:r>
              </w:p>
            </w:tc>
          </w:tr>
          <w:tr>
            <w:trPr>
              <w:cantSplit w:val="0"/>
              <w:trHeight w:val="420" w:hRule="atLeast"/>
              <w:tblHeader w:val="0"/>
            </w:trPr>
            <w:tc>
              <w:tcPr>
                <w:gridSpan w:val="7"/>
                <w:shd w:fill="93c47d"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ind w:left="720" w:hanging="360"/>
                  <w:rPr>
                    <w:rFonts w:ascii="Commissioner Light" w:cs="Commissioner Light" w:eastAsia="Commissioner Light" w:hAnsi="Commissioner Light"/>
                  </w:rPr>
                </w:pPr>
                <w:r w:rsidDel="00000000" w:rsidR="00000000" w:rsidRPr="00000000">
                  <w:rPr>
                    <w:rFonts w:ascii="Commissioner Light" w:cs="Commissioner Light" w:eastAsia="Commissioner Light" w:hAnsi="Commissioner Light"/>
                    <w:rtl w:val="0"/>
                  </w:rPr>
                  <w:t xml:space="preserve">Reflection questions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Commissioner Light" w:cs="Commissioner Light" w:eastAsia="Commissioner Light" w:hAnsi="Commissioner Light"/>
                    <w:sz w:val="20"/>
                    <w:szCs w:val="20"/>
                  </w:rPr>
                </w:pPr>
                <w:r w:rsidDel="00000000" w:rsidR="00000000" w:rsidRPr="00000000">
                  <w:rPr>
                    <w:rFonts w:ascii="Commissioner Light" w:cs="Commissioner Light" w:eastAsia="Commissioner Light" w:hAnsi="Commissioner Light"/>
                    <w:sz w:val="20"/>
                    <w:szCs w:val="20"/>
                    <w:rtl w:val="0"/>
                  </w:rPr>
                  <w:t xml:space="preserve">Where do you see your strongest contributions? </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ind w:left="360" w:firstLine="0"/>
                  <w:rPr>
                    <w:rFonts w:ascii="Commissioner Light" w:cs="Commissioner Light" w:eastAsia="Commissioner Light" w:hAnsi="Commissioner Light"/>
                    <w:color w:val="0000ff"/>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Commissioner Light" w:cs="Commissioner Light" w:eastAsia="Commissioner Light" w:hAnsi="Commissioner Light"/>
                    <w:sz w:val="20"/>
                    <w:szCs w:val="20"/>
                  </w:rPr>
                </w:pPr>
                <w:r w:rsidDel="00000000" w:rsidR="00000000" w:rsidRPr="00000000">
                  <w:rPr>
                    <w:rFonts w:ascii="Commissioner Light" w:cs="Commissioner Light" w:eastAsia="Commissioner Light" w:hAnsi="Commissioner Light"/>
                    <w:sz w:val="20"/>
                    <w:szCs w:val="20"/>
                    <w:rtl w:val="0"/>
                  </w:rPr>
                  <w:t xml:space="preserve">How do your different investments interact and potentially amplify each other?</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73">
                <w:pPr>
                  <w:spacing w:after="240" w:before="240" w:lineRule="auto"/>
                  <w:rPr>
                    <w:rFonts w:ascii="Commissioner Light" w:cs="Commissioner Light" w:eastAsia="Commissioner Light" w:hAnsi="Commissioner Light"/>
                    <w:color w:val="ff0000"/>
                  </w:rPr>
                </w:pPr>
                <w:r w:rsidDel="00000000" w:rsidR="00000000" w:rsidRPr="00000000">
                  <w:rPr>
                    <w:rtl w:val="0"/>
                  </w:rPr>
                </w:r>
              </w:p>
            </w:tc>
          </w:tr>
        </w:tbl>
      </w:sdtContent>
    </w:sdt>
    <w:p w:rsidR="00000000" w:rsidDel="00000000" w:rsidP="00000000" w:rsidRDefault="00000000" w:rsidRPr="00000000" w14:paraId="00000078">
      <w:pPr>
        <w:spacing w:line="276" w:lineRule="auto"/>
        <w:rPr>
          <w:rFonts w:ascii="Commissioner Light" w:cs="Commissioner Light" w:eastAsia="Commissioner Light" w:hAnsi="Commissioner Light"/>
        </w:rPr>
      </w:pPr>
      <w:r w:rsidDel="00000000" w:rsidR="00000000" w:rsidRPr="00000000">
        <w:rPr>
          <w:rtl w:val="0"/>
        </w:rPr>
      </w:r>
    </w:p>
    <w:p w:rsidR="00000000" w:rsidDel="00000000" w:rsidP="00000000" w:rsidRDefault="00000000" w:rsidRPr="00000000" w14:paraId="00000079">
      <w:pPr>
        <w:spacing w:after="240" w:before="240" w:lineRule="auto"/>
        <w:ind w:left="0" w:firstLine="0"/>
        <w:rPr>
          <w:rFonts w:ascii="Commissioner Light" w:cs="Commissioner Light" w:eastAsia="Commissioner Light" w:hAnsi="Commissioner Light"/>
        </w:rPr>
      </w:pPr>
      <w:r w:rsidDel="00000000" w:rsidR="00000000" w:rsidRPr="00000000">
        <w:rPr>
          <w:rtl w:val="0"/>
        </w:rPr>
      </w:r>
    </w:p>
    <w:p w:rsidR="00000000" w:rsidDel="00000000" w:rsidP="00000000" w:rsidRDefault="00000000" w:rsidRPr="00000000" w14:paraId="0000007A">
      <w:pPr>
        <w:spacing w:after="200" w:lineRule="auto"/>
        <w:rPr>
          <w:rFonts w:ascii="Commissioner Light" w:cs="Commissioner Light" w:eastAsia="Commissioner Light" w:hAnsi="Commissioner Light"/>
        </w:rPr>
      </w:pPr>
      <w:r w:rsidDel="00000000" w:rsidR="00000000" w:rsidRPr="00000000">
        <w:rPr>
          <w:rFonts w:ascii="Commissioner Light" w:cs="Commissioner Light" w:eastAsia="Commissioner Light" w:hAnsi="Commissioner Light"/>
          <w:i w:val="1"/>
          <w:iCs w:val="1"/>
          <w:sz w:val="18"/>
          <w:szCs w:val="18"/>
          <w:rtl w:val="0"/>
        </w:rPr>
        <w:t xml:space="preserve">Partner Value Contribution Assessment Tool </w:t>
      </w:r>
      <w:r w:rsidDel="00000000" w:rsidR="00000000" w:rsidRPr="00000000">
        <w:rPr>
          <w:rFonts w:ascii="Commissioner Light" w:cs="Commissioner Light" w:eastAsia="Commissioner Light" w:hAnsi="Commissioner Light"/>
          <w:color w:val="333333"/>
          <w:sz w:val="18"/>
          <w:szCs w:val="18"/>
          <w:highlight w:val="white"/>
          <w:rtl w:val="0"/>
        </w:rPr>
        <w:t xml:space="preserve">© 2025 by realife Learning is licensed under Creative Commons Attribution-NonCommercial-ShareAlike 4.0 International. To view a copy of this license, visit </w:t>
      </w:r>
      <w:hyperlink r:id="rId8">
        <w:r w:rsidDel="00000000" w:rsidR="00000000" w:rsidRPr="00000000">
          <w:rPr>
            <w:rFonts w:ascii="Commissioner Light" w:cs="Commissioner Light" w:eastAsia="Commissioner Light" w:hAnsi="Commissioner Light"/>
            <w:color w:val="1155cc"/>
            <w:sz w:val="18"/>
            <w:szCs w:val="18"/>
            <w:highlight w:val="white"/>
            <w:u w:val="single"/>
            <w:rtl w:val="0"/>
          </w:rPr>
          <w:t xml:space="preserve">https://creativecommons.org/licenses/by-nc-sa/4.0/</w:t>
        </w:r>
      </w:hyperlink>
      <w:r w:rsidDel="00000000" w:rsidR="00000000" w:rsidRPr="00000000">
        <w:rPr>
          <w:rFonts w:ascii="Commissioner Light" w:cs="Commissioner Light" w:eastAsia="Commissioner Light" w:hAnsi="Commissioner Light"/>
          <w:sz w:val="14"/>
          <w:szCs w:val="14"/>
          <w:rtl w:val="0"/>
        </w:rPr>
        <w:t xml:space="preserve">1</w:t>
      </w:r>
      <w:r w:rsidDel="00000000" w:rsidR="00000000" w:rsidRPr="00000000">
        <w:rPr>
          <w:rtl w:val="0"/>
        </w:rPr>
      </w:r>
    </w:p>
    <w:sectPr>
      <w:headerReference r:id="rId9" w:type="default"/>
      <w:headerReference r:id="rId10" w:type="first"/>
      <w:footerReference r:id="rId11" w:type="default"/>
      <w:footerReference r:id="rId12" w:type="first"/>
      <w:pgSz w:h="11909" w:w="16834" w:orient="landscape"/>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missioner">
    <w:embedRegular w:fontKey="{00000000-0000-0000-0000-000000000000}" r:id="rId1" w:subsetted="0"/>
    <w:embedBold w:fontKey="{00000000-0000-0000-0000-000000000000}" r:id="rId2" w:subsetted="0"/>
  </w:font>
  <w:font w:name="Commissioner Light">
    <w:embedRegular w:fontKey="{00000000-0000-0000-0000-000000000000}" r:id="rId3" w:subsetted="0"/>
    <w:embedBold w:fontKey="{00000000-0000-0000-0000-000000000000}" r:id="rId4" w:subsetted="0"/>
  </w:font>
  <w:font w:name="Gill San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jc w:val="center"/>
      <w:rPr>
        <w:rFonts w:ascii="Gill Sans" w:cs="Gill Sans" w:eastAsia="Gill Sans" w:hAnsi="Gill Sans"/>
        <w:sz w:val="24"/>
        <w:szCs w:val="24"/>
      </w:rPr>
    </w:pPr>
    <w:hyperlink r:id="rId1">
      <w:r w:rsidDel="00000000" w:rsidR="00000000" w:rsidRPr="00000000">
        <w:rPr>
          <w:rFonts w:ascii="Gill Sans" w:cs="Gill Sans" w:eastAsia="Gill Sans" w:hAnsi="Gill Sans"/>
          <w:color w:val="1155cc"/>
          <w:sz w:val="24"/>
          <w:szCs w:val="24"/>
          <w:u w:val="single"/>
          <w:rtl w:val="0"/>
        </w:rPr>
        <w:t xml:space="preserve">hello@realifelearning.org</w:t>
      </w:r>
    </w:hyperlink>
    <w:r w:rsidDel="00000000" w:rsidR="00000000" w:rsidRPr="00000000">
      <w:rPr>
        <w:rFonts w:ascii="Gill Sans" w:cs="Gill Sans" w:eastAsia="Gill Sans" w:hAnsi="Gill Sans"/>
        <w:sz w:val="24"/>
        <w:szCs w:val="24"/>
        <w:rtl w:val="0"/>
      </w:rPr>
      <w:t xml:space="preserve"> | </w:t>
    </w:r>
    <w:hyperlink r:id="rId2">
      <w:r w:rsidDel="00000000" w:rsidR="00000000" w:rsidRPr="00000000">
        <w:rPr>
          <w:rFonts w:ascii="Gill Sans" w:cs="Gill Sans" w:eastAsia="Gill Sans" w:hAnsi="Gill Sans"/>
          <w:color w:val="1155cc"/>
          <w:sz w:val="24"/>
          <w:szCs w:val="24"/>
          <w:u w:val="single"/>
          <w:rtl w:val="0"/>
        </w:rPr>
        <w:t xml:space="preserve">realifelearning.org</w:t>
      </w:r>
    </w:hyperlink>
    <w:r w:rsidDel="00000000" w:rsidR="00000000" w:rsidRPr="00000000">
      <w:rPr>
        <w:rFonts w:ascii="Gill Sans" w:cs="Gill Sans" w:eastAsia="Gill Sans" w:hAnsi="Gill Sans"/>
        <w:sz w:val="24"/>
        <w:szCs w:val="24"/>
        <w:rtl w:val="0"/>
      </w:rPr>
      <w:t xml:space="preserve"> | </w:t>
    </w:r>
    <w:hyperlink r:id="rId3">
      <w:r w:rsidDel="00000000" w:rsidR="00000000" w:rsidRPr="00000000">
        <w:rPr>
          <w:rFonts w:ascii="Gill Sans" w:cs="Gill Sans" w:eastAsia="Gill Sans" w:hAnsi="Gill Sans"/>
          <w:color w:val="1155cc"/>
          <w:sz w:val="24"/>
          <w:szCs w:val="24"/>
          <w:u w:val="single"/>
          <w:rtl w:val="0"/>
        </w:rPr>
        <w:t xml:space="preserve">LinkedIn</w:t>
      </w:r>
    </w:hyperlink>
    <w:r w:rsidDel="00000000" w:rsidR="00000000" w:rsidRPr="00000000">
      <w:rPr>
        <w:rFonts w:ascii="Gill Sans" w:cs="Gill Sans" w:eastAsia="Gill Sans" w:hAnsi="Gill Sans"/>
        <w:sz w:val="24"/>
        <w:szCs w:val="24"/>
        <w:rtl w:val="0"/>
      </w:rPr>
      <w:t xml:space="preserve">, </w:t>
    </w:r>
    <w:hyperlink r:id="rId4">
      <w:r w:rsidDel="00000000" w:rsidR="00000000" w:rsidRPr="00000000">
        <w:rPr>
          <w:rFonts w:ascii="Gill Sans" w:cs="Gill Sans" w:eastAsia="Gill Sans" w:hAnsi="Gill Sans"/>
          <w:color w:val="1155cc"/>
          <w:sz w:val="24"/>
          <w:szCs w:val="24"/>
          <w:u w:val="single"/>
          <w:rtl w:val="0"/>
        </w:rPr>
        <w:t xml:space="preserve">Instagram</w:t>
      </w:r>
    </w:hyperlink>
    <w:r w:rsidDel="00000000" w:rsidR="00000000" w:rsidRPr="00000000">
      <w:rPr>
        <w:rFonts w:ascii="Gill Sans" w:cs="Gill Sans" w:eastAsia="Gill Sans" w:hAnsi="Gill Sans"/>
        <w:sz w:val="24"/>
        <w:szCs w:val="24"/>
        <w:rtl w:val="0"/>
      </w:rPr>
      <w:t xml:space="preserve"> &amp; </w:t>
    </w:r>
    <w:hyperlink r:id="rId5">
      <w:r w:rsidDel="00000000" w:rsidR="00000000" w:rsidRPr="00000000">
        <w:rPr>
          <w:rFonts w:ascii="Gill Sans" w:cs="Gill Sans" w:eastAsia="Gill Sans" w:hAnsi="Gill Sans"/>
          <w:color w:val="1155cc"/>
          <w:sz w:val="24"/>
          <w:szCs w:val="24"/>
          <w:u w:val="single"/>
          <w:rtl w:val="0"/>
        </w:rPr>
        <w:t xml:space="preserve">Facebook</w:t>
      </w:r>
    </w:hyperlink>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-931860</wp:posOffset>
              </wp:positionH>
              <wp:positionV relativeFrom="paragraph">
                <wp:posOffset>-157160</wp:posOffset>
              </wp:positionV>
              <wp:extent cx="10539413" cy="466725"/>
              <wp:effectExtent b="0" l="0" r="0" t="0"/>
              <wp:wrapNone/>
              <wp:docPr id="2" name=""/>
              <a:graphic>
                <a:graphicData uri="http://schemas.microsoft.com/office/word/2010/wordprocessingShape">
                  <wps:wsp>
                    <wps:cNvSpPr/>
                    <wps:cNvPr id="3" name="Shape 3"/>
                    <wps:spPr>
                      <a:xfrm>
                        <a:off x="2738550" y="3494250"/>
                        <a:ext cx="5214900" cy="571500"/>
                      </a:xfrm>
                      <a:prstGeom prst="rect">
                        <a:avLst/>
                      </a:prstGeom>
                      <a:solidFill>
                        <a:srgbClr val="93C47D"/>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-931860</wp:posOffset>
              </wp:positionH>
              <wp:positionV relativeFrom="paragraph">
                <wp:posOffset>-157160</wp:posOffset>
              </wp:positionV>
              <wp:extent cx="10539413" cy="466725"/>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0539413" cy="46672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rPr>
        <w:rFonts w:ascii="Gill Sans" w:cs="Gill Sans" w:eastAsia="Gill Sans" w:hAnsi="Gill Sans"/>
        <w:sz w:val="2"/>
        <w:szCs w:val="2"/>
      </w:rPr>
    </w:pPr>
    <w:r w:rsidDel="00000000" w:rsidR="00000000" w:rsidRPr="00000000">
      <w:rPr>
        <w:rFonts w:ascii="Gill Sans" w:cs="Gill Sans" w:eastAsia="Gill Sans" w:hAnsi="Gill Sans"/>
        <w:sz w:val="7"/>
        <w:szCs w:val="7"/>
        <w:rtl w:val="0"/>
      </w:rPr>
      <w:t xml:space="preserve"> </w:t>
    </w:r>
    <w:r w:rsidDel="00000000" w:rsidR="00000000" w:rsidRPr="00000000">
      <w:rPr>
        <w:rFonts w:ascii="Gill Sans" w:cs="Gill Sans" w:eastAsia="Gill Sans" w:hAnsi="Gill Sans"/>
        <w:sz w:val="2"/>
        <w:szCs w:val="2"/>
        <w:rtl w:val="0"/>
      </w:rPr>
      <w:t xml:space="preserve">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-931860</wp:posOffset>
              </wp:positionH>
              <wp:positionV relativeFrom="paragraph">
                <wp:posOffset>-131760</wp:posOffset>
              </wp:positionV>
              <wp:extent cx="10768013" cy="571500"/>
              <wp:effectExtent b="0" l="0" r="0" t="0"/>
              <wp:wrapNone/>
              <wp:docPr id="1" name=""/>
              <a:graphic>
                <a:graphicData uri="http://schemas.microsoft.com/office/word/2010/wordprocessingShape">
                  <wps:wsp>
                    <wps:cNvSpPr/>
                    <wps:cNvPr id="2" name="Shape 2"/>
                    <wps:spPr>
                      <a:xfrm>
                        <a:off x="2738550" y="3494250"/>
                        <a:ext cx="5214900" cy="571500"/>
                      </a:xfrm>
                      <a:prstGeom prst="rect">
                        <a:avLst/>
                      </a:prstGeom>
                      <a:solidFill>
                        <a:srgbClr val="93C47D"/>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-931860</wp:posOffset>
              </wp:positionH>
              <wp:positionV relativeFrom="paragraph">
                <wp:posOffset>-131760</wp:posOffset>
              </wp:positionV>
              <wp:extent cx="10768013" cy="5715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0768013" cy="571500"/>
                      </a:xfrm>
                      <a:prstGeom prst="rect"/>
                      <a:ln/>
                    </pic:spPr>
                  </pic:pic>
                </a:graphicData>
              </a:graphic>
            </wp:anchor>
          </w:drawing>
        </mc:Fallback>
      </mc:AlternateContent>
    </w:r>
    <w:r w:rsidDel="00000000" w:rsidR="00000000" w:rsidRPr="00000000">
      <w:drawing>
        <wp:anchor allowOverlap="1" behindDoc="0" distB="114300" distT="114300" distL="114300" distR="114300" hidden="0" layoutInCell="1" locked="0" relativeHeight="0" simplePos="0">
          <wp:simplePos x="0" y="0"/>
          <wp:positionH relativeFrom="column">
            <wp:posOffset>9096375</wp:posOffset>
          </wp:positionH>
          <wp:positionV relativeFrom="paragraph">
            <wp:posOffset>-123823</wp:posOffset>
          </wp:positionV>
          <wp:extent cx="605790" cy="504825"/>
          <wp:effectExtent b="0" l="0" r="0" t="0"/>
          <wp:wrapNone/>
          <wp:docPr id="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05790" cy="504825"/>
                  </a:xfrm>
                  <a:prstGeom prst="rect"/>
                  <a:ln/>
                </pic:spPr>
              </pic:pic>
            </a:graphicData>
          </a:graphic>
        </wp:anchor>
      </w:drawing>
    </w:r>
  </w:p>
  <w:p w:rsidR="00000000" w:rsidDel="00000000" w:rsidP="00000000" w:rsidRDefault="00000000" w:rsidRPr="00000000" w14:paraId="0000007C">
    <w:pPr>
      <w:ind w:left="4320" w:firstLine="720"/>
      <w:jc w:val="left"/>
      <w:rPr>
        <w:rFonts w:ascii="Gill Sans" w:cs="Gill Sans" w:eastAsia="Gill Sans" w:hAnsi="Gill Sans"/>
        <w:sz w:val="16"/>
        <w:szCs w:val="16"/>
      </w:rPr>
    </w:pPr>
    <w:r w:rsidDel="00000000" w:rsidR="00000000" w:rsidRPr="00000000">
      <w:rPr>
        <w:rFonts w:ascii="Gill Sans" w:cs="Gill Sans" w:eastAsia="Gill Sans" w:hAnsi="Gill Sans"/>
        <w:sz w:val="35"/>
        <w:szCs w:val="35"/>
        <w:rtl w:val="0"/>
      </w:rPr>
      <w:t xml:space="preserve">                                                                   realife Learning</w:t>
    </w:r>
    <w:r w:rsidDel="00000000" w:rsidR="00000000" w:rsidRPr="00000000">
      <w:rPr>
        <w:rFonts w:ascii="Gill Sans" w:cs="Gill Sans" w:eastAsia="Gill Sans" w:hAnsi="Gill Sans"/>
        <w:sz w:val="16"/>
        <w:szCs w:val="16"/>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wenger-trayner.com/value-creation/" TargetMode="External"/><Relationship Id="rId8" Type="http://schemas.openxmlformats.org/officeDocument/2006/relationships/hyperlink" Target="https://creativecommons.org/licenses/by-nc-sa/4.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missioner-regular.ttf"/><Relationship Id="rId2" Type="http://schemas.openxmlformats.org/officeDocument/2006/relationships/font" Target="fonts/Commissioner-bold.ttf"/><Relationship Id="rId3" Type="http://schemas.openxmlformats.org/officeDocument/2006/relationships/font" Target="fonts/CommissionerLight-regular.ttf"/><Relationship Id="rId4" Type="http://schemas.openxmlformats.org/officeDocument/2006/relationships/font" Target="fonts/CommissionerLight-bold.ttf"/><Relationship Id="rId5" Type="http://schemas.openxmlformats.org/officeDocument/2006/relationships/font" Target="fonts/GillSans-regular.ttf"/><Relationship Id="rId6"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hyperlink" Target="mailto:hello@realifelearning.org" TargetMode="External"/><Relationship Id="rId2" Type="http://schemas.openxmlformats.org/officeDocument/2006/relationships/hyperlink" Target="http://realifelearning.org" TargetMode="External"/><Relationship Id="rId3" Type="http://schemas.openxmlformats.org/officeDocument/2006/relationships/hyperlink" Target="https://www.linkedin.com/company/realifelearning" TargetMode="External"/><Relationship Id="rId4" Type="http://schemas.openxmlformats.org/officeDocument/2006/relationships/hyperlink" Target="https://www.instagram.com/realife_learning/" TargetMode="External"/><Relationship Id="rId5" Type="http://schemas.openxmlformats.org/officeDocument/2006/relationships/hyperlink" Target="https://www.facebook.com/realifelearning/" TargetMode="External"/><Relationship Id="rId6"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jXCPG8MZlYoIyc9CDMGHMTbBPA==">CgMxLjAaHwoBMBIaChgICVIUChJ0YWJsZS51ZmhkaGYydm5rancyDmgucmhrcWRlZzJmZ3NzMg5oLmgyaTNsaGR5djF1NDIOaC5yN2ZqY2ExZW1sOTg4AHIhMXo3TFQtZS1wS2w0Vkx3WlVnSWxXTHRfUlRtUzJqMWli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